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55"/>
        <w:gridCol w:w="7807"/>
      </w:tblGrid>
      <w:tr w:rsidR="00372C6B" w:rsidTr="00E52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:rsidR="00372C6B" w:rsidRDefault="00372C6B" w:rsidP="00E52F7C">
            <w:r w:rsidRPr="005345A5">
              <w:rPr>
                <w:rFonts w:ascii="Arial Narrow" w:hAnsi="Arial Narrow"/>
                <w:noProof/>
                <w:lang w:val="bg-BG"/>
              </w:rPr>
              <w:drawing>
                <wp:inline distT="0" distB="0" distL="0" distR="0" wp14:anchorId="57E881B4" wp14:editId="0DC4B15B">
                  <wp:extent cx="548009" cy="673100"/>
                  <wp:effectExtent l="0" t="0" r="4445" b="0"/>
                  <wp:docPr id="1" name="Picture 1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use_ver_Corel_9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04" cy="7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:rsidR="00372C6B" w:rsidRPr="00016507" w:rsidRDefault="00372C6B" w:rsidP="00E52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Община Русе</w:t>
            </w:r>
          </w:p>
        </w:tc>
      </w:tr>
      <w:tr w:rsidR="00372C6B" w:rsidTr="00E5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372C6B" w:rsidRDefault="00372C6B" w:rsidP="00E52F7C"/>
        </w:tc>
        <w:tc>
          <w:tcPr>
            <w:tcW w:w="7807" w:type="dxa"/>
            <w:tcBorders>
              <w:left w:val="single" w:sz="4" w:space="0" w:color="auto"/>
            </w:tcBorders>
          </w:tcPr>
          <w:p w:rsidR="00372C6B" w:rsidRPr="00016507" w:rsidRDefault="00372C6B" w:rsidP="00E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Адрес</w:t>
            </w:r>
            <w:r w:rsidRPr="00016507">
              <w:rPr>
                <w:rFonts w:ascii="Trebuchet MS" w:hAnsi="Trebuchet MS"/>
                <w:sz w:val="20"/>
              </w:rPr>
              <w:t xml:space="preserve">: </w:t>
            </w:r>
            <w:r w:rsidRPr="00016507">
              <w:rPr>
                <w:rFonts w:ascii="Trebuchet MS" w:hAnsi="Trebuchet MS"/>
                <w:sz w:val="20"/>
                <w:lang w:val="bg-BG"/>
              </w:rPr>
              <w:t>пл. „Свобода“ 6</w:t>
            </w:r>
            <w:r w:rsidRPr="00016507">
              <w:rPr>
                <w:rFonts w:ascii="Trebuchet MS" w:hAnsi="Trebuchet MS"/>
                <w:sz w:val="20"/>
                <w:lang w:val="en-US"/>
              </w:rPr>
              <w:t>,</w:t>
            </w:r>
            <w:r w:rsidRPr="00016507">
              <w:rPr>
                <w:rFonts w:ascii="Trebuchet MS" w:hAnsi="Trebuchet MS"/>
                <w:sz w:val="20"/>
              </w:rPr>
              <w:t xml:space="preserve"> </w:t>
            </w:r>
            <w:r w:rsidRPr="00016507">
              <w:rPr>
                <w:rFonts w:ascii="Trebuchet MS" w:hAnsi="Trebuchet MS"/>
                <w:sz w:val="20"/>
                <w:lang w:val="bg-BG"/>
              </w:rPr>
              <w:t>Русе 7000</w:t>
            </w:r>
            <w:r w:rsidRPr="00016507">
              <w:rPr>
                <w:rFonts w:ascii="Trebuchet MS" w:hAnsi="Trebuchet MS"/>
                <w:sz w:val="20"/>
              </w:rPr>
              <w:t xml:space="preserve">, </w:t>
            </w:r>
            <w:r w:rsidRPr="00016507">
              <w:rPr>
                <w:rFonts w:ascii="Trebuchet MS" w:hAnsi="Trebuchet MS"/>
                <w:sz w:val="20"/>
                <w:lang w:val="bg-BG"/>
              </w:rPr>
              <w:t>България</w:t>
            </w:r>
          </w:p>
        </w:tc>
      </w:tr>
      <w:tr w:rsidR="00372C6B" w:rsidTr="00E52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372C6B" w:rsidRDefault="00372C6B" w:rsidP="00E52F7C"/>
        </w:tc>
        <w:tc>
          <w:tcPr>
            <w:tcW w:w="7807" w:type="dxa"/>
            <w:tcBorders>
              <w:left w:val="single" w:sz="4" w:space="0" w:color="auto"/>
            </w:tcBorders>
          </w:tcPr>
          <w:p w:rsidR="00372C6B" w:rsidRPr="00016507" w:rsidRDefault="00372C6B" w:rsidP="00E5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Тел</w:t>
            </w:r>
            <w:r w:rsidRPr="00016507">
              <w:rPr>
                <w:rFonts w:ascii="Trebuchet MS" w:hAnsi="Trebuchet MS"/>
                <w:sz w:val="20"/>
              </w:rPr>
              <w:t>:</w:t>
            </w:r>
            <w:r w:rsidRPr="00016507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016507">
              <w:rPr>
                <w:rFonts w:ascii="Trebuchet MS" w:hAnsi="Trebuchet MS"/>
                <w:sz w:val="20"/>
              </w:rPr>
              <w:t>+359 82 881 802;</w:t>
            </w:r>
            <w:r w:rsidRPr="00016507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016507">
              <w:rPr>
                <w:rFonts w:ascii="Trebuchet MS" w:hAnsi="Trebuchet MS"/>
                <w:sz w:val="20"/>
                <w:lang w:val="bg-BG"/>
              </w:rPr>
              <w:t>Факс</w:t>
            </w:r>
            <w:r w:rsidRPr="00016507">
              <w:rPr>
                <w:rFonts w:ascii="Trebuchet MS" w:hAnsi="Trebuchet MS"/>
                <w:sz w:val="20"/>
              </w:rPr>
              <w:t>: +359 82 834 413</w:t>
            </w:r>
          </w:p>
        </w:tc>
      </w:tr>
      <w:tr w:rsidR="00372C6B" w:rsidTr="00E5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2C6B" w:rsidRDefault="00372C6B" w:rsidP="00E52F7C"/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:rsidR="00372C6B" w:rsidRPr="00016507" w:rsidRDefault="00372C6B" w:rsidP="00E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Електронна поща</w:t>
            </w:r>
            <w:r w:rsidRPr="00016507">
              <w:rPr>
                <w:rFonts w:ascii="Trebuchet MS" w:hAnsi="Trebuchet MS"/>
                <w:sz w:val="20"/>
              </w:rPr>
              <w:t>:</w:t>
            </w:r>
            <w:r w:rsidRPr="00016507">
              <w:rPr>
                <w:rFonts w:ascii="Trebuchet MS" w:hAnsi="Trebuchet MS"/>
                <w:sz w:val="20"/>
                <w:lang w:val="en-US"/>
              </w:rPr>
              <w:t xml:space="preserve"> mayor@ruse-bg.eu</w:t>
            </w:r>
          </w:p>
        </w:tc>
      </w:tr>
    </w:tbl>
    <w:p w:rsidR="00016507" w:rsidRDefault="00016507"/>
    <w:p w:rsidR="00317ABB" w:rsidRDefault="00317ABB" w:rsidP="00317ABB">
      <w:pPr>
        <w:jc w:val="center"/>
        <w:rPr>
          <w:rFonts w:ascii="Trebuchet MS" w:hAnsi="Trebuchet MS"/>
          <w:b/>
          <w:i/>
          <w:sz w:val="22"/>
          <w:lang w:val="bg-BG"/>
        </w:rPr>
      </w:pPr>
      <w:r w:rsidRPr="00176179">
        <w:rPr>
          <w:rFonts w:ascii="Trebuchet MS" w:hAnsi="Trebuchet MS"/>
          <w:sz w:val="22"/>
          <w:lang w:val="bg-BG"/>
        </w:rPr>
        <w:t xml:space="preserve">Проект: </w:t>
      </w:r>
      <w:r w:rsidRPr="00176179">
        <w:rPr>
          <w:rFonts w:ascii="Trebuchet MS" w:hAnsi="Trebuchet MS"/>
          <w:b/>
          <w:i/>
          <w:sz w:val="22"/>
          <w:lang w:val="bg-BG"/>
        </w:rPr>
        <w:t>„Развитие на поречието на река Дунав за по-добра свързаност на Еврорегион Русе-Гюргево с Паневро</w:t>
      </w:r>
      <w:r w:rsidR="0089631D">
        <w:rPr>
          <w:rFonts w:ascii="Trebuchet MS" w:hAnsi="Trebuchet MS"/>
          <w:b/>
          <w:i/>
          <w:sz w:val="22"/>
          <w:lang w:val="bg-BG"/>
        </w:rPr>
        <w:t>пейски транспортен коридор №7“</w:t>
      </w:r>
      <w:r w:rsidRPr="00176179">
        <w:rPr>
          <w:rFonts w:ascii="Trebuchet MS" w:hAnsi="Trebuchet MS"/>
          <w:b/>
          <w:i/>
          <w:sz w:val="22"/>
          <w:lang w:val="bg-BG"/>
        </w:rPr>
        <w:t xml:space="preserve">, </w:t>
      </w:r>
      <w:r w:rsidRPr="00176179">
        <w:rPr>
          <w:rFonts w:ascii="Trebuchet MS" w:hAnsi="Trebuchet MS"/>
          <w:i/>
          <w:sz w:val="22"/>
          <w:lang w:val="bg-BG"/>
        </w:rPr>
        <w:t>e</w:t>
      </w:r>
      <w:r w:rsidRPr="00176179">
        <w:rPr>
          <w:rFonts w:ascii="Trebuchet MS" w:hAnsi="Trebuchet MS"/>
          <w:i/>
          <w:sz w:val="22"/>
          <w:lang w:val="en-US"/>
        </w:rPr>
        <w:t>-</w:t>
      </w:r>
      <w:r w:rsidRPr="00176179">
        <w:rPr>
          <w:rFonts w:ascii="Trebuchet MS" w:hAnsi="Trebuchet MS"/>
          <w:i/>
          <w:sz w:val="22"/>
          <w:lang w:val="bg-BG"/>
        </w:rPr>
        <w:t>MS</w:t>
      </w:r>
      <w:r w:rsidRPr="00176179">
        <w:rPr>
          <w:rFonts w:ascii="Trebuchet MS" w:hAnsi="Trebuchet MS"/>
          <w:b/>
          <w:i/>
          <w:sz w:val="22"/>
          <w:lang w:val="bg-BG"/>
        </w:rPr>
        <w:t xml:space="preserve"> </w:t>
      </w:r>
      <w:r w:rsidRPr="00176179">
        <w:rPr>
          <w:rFonts w:ascii="Trebuchet MS" w:hAnsi="Trebuchet MS"/>
          <w:i/>
          <w:sz w:val="22"/>
          <w:lang w:val="bg-BG"/>
        </w:rPr>
        <w:t>код</w:t>
      </w:r>
      <w:r w:rsidRPr="00176179">
        <w:rPr>
          <w:rFonts w:ascii="Trebuchet MS" w:hAnsi="Trebuchet MS"/>
          <w:b/>
          <w:i/>
          <w:sz w:val="22"/>
          <w:lang w:val="bg-BG"/>
        </w:rPr>
        <w:t xml:space="preserve"> ROBG-130</w:t>
      </w:r>
    </w:p>
    <w:p w:rsidR="00B87993" w:rsidRDefault="00B87993" w:rsidP="00317ABB">
      <w:pPr>
        <w:jc w:val="center"/>
        <w:rPr>
          <w:rFonts w:ascii="Trebuchet MS" w:hAnsi="Trebuchet MS"/>
          <w:b/>
          <w:i/>
          <w:sz w:val="22"/>
          <w:lang w:val="bg-BG"/>
        </w:rPr>
      </w:pPr>
    </w:p>
    <w:p w:rsidR="00B87993" w:rsidRDefault="00B87993" w:rsidP="00317ABB">
      <w:pPr>
        <w:jc w:val="center"/>
        <w:rPr>
          <w:rFonts w:ascii="Trebuchet MS" w:hAnsi="Trebuchet MS"/>
          <w:b/>
          <w:i/>
          <w:sz w:val="22"/>
          <w:lang w:val="bg-BG"/>
        </w:rPr>
      </w:pPr>
    </w:p>
    <w:p w:rsidR="00B87993" w:rsidRDefault="00B87993" w:rsidP="00B87993">
      <w:pPr>
        <w:jc w:val="center"/>
        <w:rPr>
          <w:b/>
          <w:sz w:val="32"/>
          <w:szCs w:val="32"/>
          <w:lang w:val="bg-BG"/>
        </w:rPr>
      </w:pPr>
      <w:r w:rsidRPr="00EF34D5">
        <w:rPr>
          <w:b/>
          <w:sz w:val="32"/>
          <w:szCs w:val="32"/>
          <w:lang w:val="bg-BG"/>
        </w:rPr>
        <w:t>Техническа спецификация</w:t>
      </w:r>
    </w:p>
    <w:p w:rsidR="00EF34D5" w:rsidRPr="00EF34D5" w:rsidRDefault="00EF34D5" w:rsidP="00B87993">
      <w:pPr>
        <w:jc w:val="center"/>
        <w:rPr>
          <w:b/>
          <w:sz w:val="32"/>
          <w:szCs w:val="32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559F0" w:rsidRPr="00694BD8" w:rsidTr="002559F0">
        <w:trPr>
          <w:trHeight w:val="284"/>
        </w:trPr>
        <w:tc>
          <w:tcPr>
            <w:tcW w:w="4999" w:type="pct"/>
            <w:shd w:val="clear" w:color="auto" w:fill="BFBFBF" w:themeFill="background1" w:themeFillShade="BF"/>
            <w:noWrap/>
            <w:vAlign w:val="bottom"/>
          </w:tcPr>
          <w:p w:rsidR="002559F0" w:rsidRPr="00435B59" w:rsidRDefault="00435B59" w:rsidP="00122589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Предмет на поръчката</w:t>
            </w:r>
          </w:p>
        </w:tc>
      </w:tr>
      <w:tr w:rsidR="002559F0" w:rsidRPr="008744B5" w:rsidTr="002559F0">
        <w:trPr>
          <w:trHeight w:val="284"/>
        </w:trPr>
        <w:tc>
          <w:tcPr>
            <w:tcW w:w="4999" w:type="pct"/>
            <w:shd w:val="clear" w:color="auto" w:fill="auto"/>
            <w:noWrap/>
            <w:vAlign w:val="center"/>
          </w:tcPr>
          <w:p w:rsidR="002559F0" w:rsidRPr="008744B5" w:rsidRDefault="002559F0" w:rsidP="00122589">
            <w:pPr>
              <w:spacing w:after="120"/>
              <w:jc w:val="both"/>
              <w:rPr>
                <w:color w:val="000000"/>
              </w:rPr>
            </w:pPr>
            <w:bookmarkStart w:id="0" w:name="_Hlk497882336"/>
            <w:r>
              <w:rPr>
                <w:bCs/>
                <w:color w:val="000000"/>
              </w:rPr>
              <w:t>Изготвяне на Съвместна стратегия за подобряване на безопасността на навигацията в Долен Дунав</w:t>
            </w:r>
            <w:r w:rsidRPr="008744B5">
              <w:rPr>
                <w:bCs/>
                <w:color w:val="000000"/>
              </w:rPr>
              <w:t xml:space="preserve">, във връзка с проект на община Русе за </w:t>
            </w:r>
            <w:bookmarkStart w:id="1" w:name="_Hlk493580634"/>
            <w:r w:rsidRPr="008744B5">
              <w:rPr>
                <w:bCs/>
                <w:color w:val="000000"/>
              </w:rPr>
              <w:t>„Развитие на поречието на река Дунав за по-добра свързаност на Еврорегион Русе-Гюргево с Паневропейски транспортен коридор № 7“, финансиран със средства от Програма ИНТЕРРЕГ V-A Румъния-България“</w:t>
            </w:r>
            <w:bookmarkEnd w:id="0"/>
            <w:bookmarkEnd w:id="1"/>
          </w:p>
        </w:tc>
      </w:tr>
      <w:tr w:rsidR="002559F0" w:rsidRPr="00694BD8" w:rsidTr="002559F0">
        <w:trPr>
          <w:trHeight w:val="284"/>
        </w:trPr>
        <w:tc>
          <w:tcPr>
            <w:tcW w:w="4999" w:type="pct"/>
            <w:shd w:val="clear" w:color="auto" w:fill="BFBFBF" w:themeFill="background1" w:themeFillShade="BF"/>
            <w:noWrap/>
            <w:vAlign w:val="bottom"/>
          </w:tcPr>
          <w:p w:rsidR="002559F0" w:rsidRPr="00435B59" w:rsidRDefault="00435B59" w:rsidP="00435B59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Кратко описание</w:t>
            </w:r>
          </w:p>
        </w:tc>
      </w:tr>
      <w:tr w:rsidR="002559F0" w:rsidRPr="00AF0BC0" w:rsidTr="002559F0">
        <w:trPr>
          <w:trHeight w:val="284"/>
        </w:trPr>
        <w:tc>
          <w:tcPr>
            <w:tcW w:w="4999" w:type="pct"/>
            <w:shd w:val="clear" w:color="auto" w:fill="auto"/>
            <w:noWrap/>
            <w:vAlign w:val="bottom"/>
          </w:tcPr>
          <w:p w:rsidR="002559F0" w:rsidRDefault="002559F0" w:rsidP="00122589">
            <w:pPr>
              <w:spacing w:after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Настоящата обществена поръчка се провежда в рамките на</w:t>
            </w:r>
            <w:r w:rsidRPr="008744B5">
              <w:rPr>
                <w:bCs/>
                <w:color w:val="000000"/>
              </w:rPr>
              <w:t xml:space="preserve"> проект на община Русе за „Развитие на поречието на река Дунав за по-добра свързаност на Еврорегион Русе-Гюргево с Паневропейски транспортен коридор № 7“, финансиран със средства от Програма ИНТЕРРЕГ V-A Румъния-</w:t>
            </w:r>
            <w:proofErr w:type="gramStart"/>
            <w:r w:rsidRPr="008744B5">
              <w:rPr>
                <w:bCs/>
                <w:color w:val="000000"/>
              </w:rPr>
              <w:t>България“</w:t>
            </w:r>
            <w:proofErr w:type="gramEnd"/>
          </w:p>
          <w:p w:rsidR="002559F0" w:rsidRPr="009B6EEA" w:rsidRDefault="002559F0" w:rsidP="00122589">
            <w:pPr>
              <w:spacing w:after="120"/>
              <w:jc w:val="both"/>
            </w:pPr>
            <w:r w:rsidRPr="009B6EEA">
              <w:t>Проектен код: 15.1.1.041</w:t>
            </w:r>
          </w:p>
          <w:p w:rsidR="002559F0" w:rsidRDefault="002559F0" w:rsidP="00122589">
            <w:pPr>
              <w:spacing w:after="120"/>
              <w:jc w:val="both"/>
            </w:pPr>
            <w:r w:rsidRPr="009B6EEA">
              <w:t>Водещ бенефициент: община Русе</w:t>
            </w:r>
          </w:p>
          <w:p w:rsidR="002559F0" w:rsidRPr="00AF0BC0" w:rsidRDefault="002559F0" w:rsidP="00122589">
            <w:pPr>
              <w:spacing w:after="120"/>
              <w:jc w:val="both"/>
            </w:pPr>
            <w:r>
              <w:t xml:space="preserve">Изготвянето на </w:t>
            </w:r>
            <w:r>
              <w:rPr>
                <w:bCs/>
                <w:color w:val="000000"/>
              </w:rPr>
              <w:t>Съвместна стратегия за подобряване на безопасността на навигацията в Долен Дунав е предвидено като мярка на дейност „</w:t>
            </w:r>
            <w:r w:rsidRPr="00F25CF7">
              <w:rPr>
                <w:bCs/>
                <w:color w:val="000000"/>
              </w:rPr>
              <w:t>Мерки за съвместно стратегическо планиране в трансграничния регион</w:t>
            </w:r>
            <w:r>
              <w:rPr>
                <w:bCs/>
                <w:color w:val="000000"/>
              </w:rPr>
              <w:t>“ от гореспоменатия проект.</w:t>
            </w:r>
          </w:p>
        </w:tc>
      </w:tr>
      <w:tr w:rsidR="00B87993" w:rsidRPr="00694BD8" w:rsidTr="002559F0">
        <w:trPr>
          <w:trHeight w:val="284"/>
        </w:trPr>
        <w:tc>
          <w:tcPr>
            <w:tcW w:w="0" w:type="auto"/>
            <w:shd w:val="clear" w:color="auto" w:fill="BFBFBF"/>
            <w:noWrap/>
            <w:vAlign w:val="bottom"/>
          </w:tcPr>
          <w:p w:rsidR="00B87993" w:rsidRPr="00694BD8" w:rsidRDefault="00B87993" w:rsidP="00FE0E62">
            <w:pPr>
              <w:jc w:val="both"/>
              <w:rPr>
                <w:color w:val="000000"/>
              </w:rPr>
            </w:pPr>
            <w:r w:rsidRPr="00694BD8">
              <w:rPr>
                <w:color w:val="000000"/>
              </w:rPr>
              <w:t>Технически усл</w:t>
            </w:r>
            <w:r w:rsidR="00435B59">
              <w:rPr>
                <w:color w:val="000000"/>
              </w:rPr>
              <w:t>овия за изпълнение на поръчката</w:t>
            </w:r>
          </w:p>
        </w:tc>
      </w:tr>
      <w:tr w:rsidR="00B87993" w:rsidRPr="00694BD8" w:rsidTr="002559F0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</w:tcPr>
          <w:p w:rsidR="00B87993" w:rsidRPr="006878C8" w:rsidRDefault="00B87993" w:rsidP="00FE0E62">
            <w:pPr>
              <w:spacing w:after="120"/>
              <w:jc w:val="both"/>
              <w:rPr>
                <w:rFonts w:eastAsia="Calibri"/>
                <w:b/>
                <w:bCs/>
                <w:szCs w:val="22"/>
              </w:rPr>
            </w:pPr>
            <w:r w:rsidRPr="006878C8">
              <w:rPr>
                <w:rFonts w:eastAsia="Calibri"/>
                <w:b/>
                <w:bCs/>
                <w:szCs w:val="22"/>
              </w:rPr>
              <w:t>Цел</w:t>
            </w:r>
          </w:p>
          <w:p w:rsidR="00B87993" w:rsidRPr="00AC2F18" w:rsidRDefault="00B87993" w:rsidP="00FE0E62">
            <w:pPr>
              <w:spacing w:after="120"/>
              <w:jc w:val="both"/>
              <w:rPr>
                <w:rFonts w:eastAsia="Calibri"/>
                <w:bCs/>
                <w:szCs w:val="22"/>
              </w:rPr>
            </w:pPr>
            <w:r w:rsidRPr="00AC2F18">
              <w:rPr>
                <w:rFonts w:eastAsia="Calibri"/>
                <w:bCs/>
                <w:szCs w:val="22"/>
              </w:rPr>
              <w:t xml:space="preserve">Целта на дейността е осигуряване изпълнението на </w:t>
            </w:r>
            <w:r>
              <w:rPr>
                <w:rFonts w:eastAsia="Calibri"/>
                <w:bCs/>
                <w:szCs w:val="22"/>
              </w:rPr>
              <w:t>конкретна мярка</w:t>
            </w:r>
            <w:r w:rsidRPr="00AC2F18">
              <w:rPr>
                <w:rFonts w:eastAsia="Calibri"/>
                <w:bCs/>
                <w:szCs w:val="22"/>
              </w:rPr>
              <w:t xml:space="preserve"> на ниво стратегическо планиране за обогатяване и допълване на обхвата на проекта чрез изпълнението на </w:t>
            </w:r>
            <w:r>
              <w:rPr>
                <w:rFonts w:eastAsia="Calibri"/>
                <w:bCs/>
                <w:szCs w:val="22"/>
              </w:rPr>
              <w:t>дейност извън</w:t>
            </w:r>
            <w:r w:rsidRPr="00AC2F18">
              <w:rPr>
                <w:rFonts w:eastAsia="Calibri"/>
                <w:bCs/>
                <w:szCs w:val="22"/>
              </w:rPr>
              <w:t xml:space="preserve"> физическия резултат, който ще се постигне чрез строителните дейности на партньорите по Проекта – Община Русе и Община Гюргево. Изготвянето на </w:t>
            </w:r>
            <w:r w:rsidRPr="00AC2F18">
              <w:rPr>
                <w:rFonts w:eastAsia="Calibri"/>
                <w:bCs/>
                <w:i/>
                <w:szCs w:val="22"/>
              </w:rPr>
              <w:t>Съвместна стратегия за подобряване безопасността на навигацията в Долен Дунав</w:t>
            </w:r>
            <w:r w:rsidRPr="00AC2F18">
              <w:rPr>
                <w:rFonts w:eastAsia="Calibri"/>
                <w:bCs/>
                <w:szCs w:val="22"/>
              </w:rPr>
              <w:t xml:space="preserve"> ще помогне да се гарантира устойчивостта на проекта.</w:t>
            </w:r>
          </w:p>
          <w:p w:rsidR="00B87993" w:rsidRPr="00AC2F18" w:rsidRDefault="00B87993" w:rsidP="00FE0E62">
            <w:pPr>
              <w:spacing w:after="120"/>
              <w:jc w:val="both"/>
              <w:rPr>
                <w:rFonts w:eastAsia="Calibri"/>
                <w:bCs/>
                <w:szCs w:val="22"/>
              </w:rPr>
            </w:pPr>
            <w:r w:rsidRPr="00AC2F18">
              <w:rPr>
                <w:rFonts w:eastAsia="Calibri"/>
                <w:bCs/>
                <w:szCs w:val="22"/>
              </w:rPr>
              <w:t xml:space="preserve">Чрез </w:t>
            </w:r>
            <w:r>
              <w:rPr>
                <w:rFonts w:eastAsia="Calibri"/>
                <w:bCs/>
                <w:szCs w:val="22"/>
              </w:rPr>
              <w:t>настоящата обществена поръчка</w:t>
            </w:r>
            <w:r w:rsidRPr="00AC2F18">
              <w:rPr>
                <w:rFonts w:eastAsia="Calibri"/>
                <w:bCs/>
                <w:szCs w:val="22"/>
              </w:rPr>
              <w:t xml:space="preserve"> Община Русе цели да постигне най-малко следното:</w:t>
            </w:r>
          </w:p>
          <w:p w:rsidR="00B87993" w:rsidRPr="00AC2F18" w:rsidRDefault="00B87993" w:rsidP="00B87993">
            <w:pPr>
              <w:numPr>
                <w:ilvl w:val="0"/>
                <w:numId w:val="1"/>
              </w:numPr>
              <w:spacing w:after="120"/>
              <w:jc w:val="both"/>
              <w:rPr>
                <w:rFonts w:eastAsia="Calibri"/>
                <w:bCs/>
                <w:szCs w:val="22"/>
              </w:rPr>
            </w:pPr>
            <w:r w:rsidRPr="00AC2F18">
              <w:rPr>
                <w:rFonts w:eastAsia="Calibri"/>
                <w:bCs/>
                <w:szCs w:val="22"/>
              </w:rPr>
              <w:t>Привличане на изпълнител, който притежава компетентност в изготвянето на съвместни стратегии за планиране;</w:t>
            </w:r>
          </w:p>
          <w:p w:rsidR="00B87993" w:rsidRDefault="00B87993" w:rsidP="00B87993">
            <w:pPr>
              <w:numPr>
                <w:ilvl w:val="0"/>
                <w:numId w:val="1"/>
              </w:numPr>
              <w:spacing w:after="120"/>
              <w:jc w:val="both"/>
              <w:rPr>
                <w:rFonts w:eastAsia="Calibri"/>
                <w:bCs/>
                <w:szCs w:val="22"/>
              </w:rPr>
            </w:pPr>
            <w:r w:rsidRPr="00AC2F18">
              <w:rPr>
                <w:rFonts w:eastAsia="Calibri"/>
                <w:bCs/>
                <w:szCs w:val="22"/>
              </w:rPr>
              <w:lastRenderedPageBreak/>
              <w:t>Гарантиране на максимална публичност и прозрачност при разходване на средствата в рамките на Програма ИНТЕРРЕГ V-A Румъния-</w:t>
            </w:r>
            <w:proofErr w:type="gramStart"/>
            <w:r w:rsidRPr="00AC2F18">
              <w:rPr>
                <w:rFonts w:eastAsia="Calibri"/>
                <w:bCs/>
                <w:szCs w:val="22"/>
              </w:rPr>
              <w:t>България“ 2014</w:t>
            </w:r>
            <w:proofErr w:type="gramEnd"/>
            <w:r w:rsidRPr="00AC2F18">
              <w:rPr>
                <w:rFonts w:eastAsia="Calibri"/>
                <w:bCs/>
                <w:szCs w:val="22"/>
              </w:rPr>
              <w:t>-2020;</w:t>
            </w:r>
          </w:p>
          <w:p w:rsidR="00B87993" w:rsidRPr="00464D10" w:rsidRDefault="00B87993" w:rsidP="00B87993">
            <w:pPr>
              <w:numPr>
                <w:ilvl w:val="0"/>
                <w:numId w:val="1"/>
              </w:numPr>
              <w:spacing w:after="120"/>
              <w:jc w:val="both"/>
              <w:rPr>
                <w:rFonts w:eastAsia="Calibri"/>
                <w:bCs/>
                <w:szCs w:val="22"/>
              </w:rPr>
            </w:pPr>
            <w:r w:rsidRPr="00464D10">
              <w:rPr>
                <w:rFonts w:eastAsia="Calibri"/>
                <w:bCs/>
                <w:szCs w:val="22"/>
              </w:rPr>
              <w:t>Постигане на цел</w:t>
            </w:r>
            <w:r>
              <w:rPr>
                <w:rFonts w:eastAsia="Calibri"/>
                <w:bCs/>
                <w:szCs w:val="22"/>
              </w:rPr>
              <w:t>та</w:t>
            </w:r>
            <w:r w:rsidRPr="00464D10">
              <w:rPr>
                <w:rFonts w:eastAsia="Calibri"/>
                <w:bCs/>
                <w:szCs w:val="22"/>
              </w:rPr>
              <w:t xml:space="preserve"> и планирани</w:t>
            </w:r>
            <w:r>
              <w:rPr>
                <w:rFonts w:eastAsia="Calibri"/>
                <w:bCs/>
                <w:szCs w:val="22"/>
              </w:rPr>
              <w:t>я</w:t>
            </w:r>
            <w:r w:rsidRPr="00464D10">
              <w:rPr>
                <w:rFonts w:eastAsia="Calibri"/>
                <w:bCs/>
                <w:szCs w:val="22"/>
              </w:rPr>
              <w:t xml:space="preserve"> резултат за дейност </w:t>
            </w:r>
            <w:r>
              <w:rPr>
                <w:rFonts w:eastAsia="Calibri"/>
                <w:bCs/>
                <w:szCs w:val="22"/>
              </w:rPr>
              <w:t>„</w:t>
            </w:r>
            <w:r w:rsidRPr="00464D10">
              <w:rPr>
                <w:rFonts w:eastAsia="Calibri"/>
                <w:bCs/>
                <w:szCs w:val="22"/>
              </w:rPr>
              <w:t xml:space="preserve">Мерки за съвместно стратегическо планиране в трансграничния </w:t>
            </w:r>
            <w:proofErr w:type="gramStart"/>
            <w:r w:rsidRPr="00464D10">
              <w:rPr>
                <w:rFonts w:eastAsia="Calibri"/>
                <w:bCs/>
                <w:szCs w:val="22"/>
              </w:rPr>
              <w:t>регион</w:t>
            </w:r>
            <w:r>
              <w:rPr>
                <w:rFonts w:eastAsia="Calibri"/>
                <w:bCs/>
                <w:szCs w:val="22"/>
              </w:rPr>
              <w:t>“</w:t>
            </w:r>
            <w:r w:rsidRPr="00464D10">
              <w:rPr>
                <w:rFonts w:eastAsia="Calibri"/>
                <w:bCs/>
                <w:szCs w:val="22"/>
              </w:rPr>
              <w:t xml:space="preserve"> в</w:t>
            </w:r>
            <w:proofErr w:type="gramEnd"/>
            <w:r w:rsidRPr="00464D10">
              <w:rPr>
                <w:rFonts w:eastAsia="Calibri"/>
                <w:bCs/>
                <w:szCs w:val="22"/>
              </w:rPr>
              <w:t xml:space="preserve"> рамките на проекта, </w:t>
            </w:r>
            <w:r>
              <w:rPr>
                <w:rFonts w:eastAsia="Calibri"/>
                <w:bCs/>
                <w:szCs w:val="22"/>
              </w:rPr>
              <w:t xml:space="preserve">а именно </w:t>
            </w:r>
            <w:r w:rsidRPr="00AC2F18">
              <w:rPr>
                <w:rFonts w:eastAsia="Calibri"/>
                <w:bCs/>
                <w:szCs w:val="22"/>
              </w:rPr>
              <w:t xml:space="preserve">Изготвянето на </w:t>
            </w:r>
            <w:r w:rsidRPr="001020F5">
              <w:rPr>
                <w:rFonts w:eastAsia="Calibri"/>
                <w:bCs/>
                <w:szCs w:val="22"/>
              </w:rPr>
              <w:t>Съвместна стратегия за подобряване безопасността на навигацията в Долен Дунав.</w:t>
            </w:r>
          </w:p>
          <w:p w:rsidR="00B87993" w:rsidRPr="006878C8" w:rsidRDefault="00B87993" w:rsidP="00FE0E62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6878C8">
              <w:rPr>
                <w:rFonts w:eastAsia="Calibri"/>
                <w:b/>
                <w:bCs/>
                <w:szCs w:val="22"/>
              </w:rPr>
              <w:t>Очакван резултат</w:t>
            </w:r>
            <w:r w:rsidRPr="006878C8">
              <w:rPr>
                <w:rFonts w:eastAsia="Calibri"/>
                <w:szCs w:val="22"/>
              </w:rPr>
              <w:t> </w:t>
            </w:r>
          </w:p>
          <w:p w:rsidR="00B87993" w:rsidRPr="002B1C4E" w:rsidRDefault="00B87993" w:rsidP="00B87993">
            <w:pPr>
              <w:numPr>
                <w:ilvl w:val="0"/>
                <w:numId w:val="1"/>
              </w:numPr>
              <w:spacing w:after="120"/>
              <w:jc w:val="both"/>
              <w:rPr>
                <w:rFonts w:eastAsia="Calibri"/>
                <w:szCs w:val="22"/>
              </w:rPr>
            </w:pPr>
            <w:r w:rsidRPr="007555B5">
              <w:rPr>
                <w:rFonts w:eastAsia="Calibri"/>
                <w:bCs/>
                <w:szCs w:val="22"/>
              </w:rPr>
              <w:t>Изготвена Съвместна стратегия за подобряване безопасността на навигацията в Долен Дунав</w:t>
            </w:r>
          </w:p>
          <w:p w:rsidR="00B87993" w:rsidRPr="006878C8" w:rsidRDefault="00B87993" w:rsidP="00FE0E62">
            <w:pPr>
              <w:spacing w:after="120"/>
              <w:jc w:val="both"/>
              <w:rPr>
                <w:rFonts w:eastAsia="Calibri"/>
                <w:b/>
                <w:szCs w:val="22"/>
              </w:rPr>
            </w:pPr>
            <w:r w:rsidRPr="006878C8">
              <w:rPr>
                <w:rFonts w:eastAsia="Calibri"/>
                <w:b/>
                <w:bCs/>
                <w:iCs/>
                <w:szCs w:val="22"/>
              </w:rPr>
              <w:t xml:space="preserve">Общи </w:t>
            </w:r>
            <w:r>
              <w:rPr>
                <w:rFonts w:eastAsia="Calibri"/>
                <w:b/>
                <w:bCs/>
                <w:iCs/>
                <w:szCs w:val="22"/>
              </w:rPr>
              <w:t>информация</w:t>
            </w:r>
            <w:r w:rsidRPr="006878C8">
              <w:rPr>
                <w:rFonts w:eastAsia="Calibri"/>
                <w:b/>
                <w:bCs/>
                <w:iCs/>
                <w:szCs w:val="22"/>
              </w:rPr>
              <w:t xml:space="preserve"> и изисквания при изпълнение на поръчката</w:t>
            </w:r>
          </w:p>
          <w:p w:rsidR="00B87993" w:rsidRPr="00AC2F18" w:rsidRDefault="00B87993" w:rsidP="00FE0E62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AC2F18">
              <w:rPr>
                <w:rFonts w:eastAsia="Calibri"/>
                <w:szCs w:val="22"/>
              </w:rPr>
              <w:t>Настоящата обществена поръчка следва да бъде изпълнена в съответствие с Наръчник за изпълнение на проекти на Програма ИНТЕРРЕГ V-A Румъния-</w:t>
            </w:r>
            <w:proofErr w:type="gramStart"/>
            <w:r w:rsidRPr="00AC2F18">
              <w:rPr>
                <w:rFonts w:eastAsia="Calibri"/>
                <w:szCs w:val="22"/>
              </w:rPr>
              <w:t>България“ 2014</w:t>
            </w:r>
            <w:proofErr w:type="gramEnd"/>
            <w:r w:rsidRPr="00AC2F18">
              <w:rPr>
                <w:rFonts w:eastAsia="Calibri"/>
                <w:szCs w:val="22"/>
              </w:rPr>
              <w:t>-2020 и Наръчника за визуална идентичност на Програмата за прилагане на правилата за информация и публичност.</w:t>
            </w:r>
          </w:p>
          <w:p w:rsidR="00B87993" w:rsidRPr="00AC2F18" w:rsidRDefault="00B87993" w:rsidP="00FE0E62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AC2F18">
              <w:rPr>
                <w:rFonts w:eastAsia="Calibri"/>
                <w:szCs w:val="22"/>
              </w:rPr>
              <w:t>При изпълнение на обществената поръчка, следва да се спазват правилата и процедурите, записани в следната нормативна рамка:</w:t>
            </w:r>
          </w:p>
          <w:p w:rsidR="00B87993" w:rsidRPr="00AC2F18" w:rsidRDefault="00B87993" w:rsidP="00B87993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Calibri"/>
                <w:szCs w:val="22"/>
              </w:rPr>
            </w:pPr>
            <w:r w:rsidRPr="00AC2F18">
              <w:rPr>
                <w:rFonts w:eastAsia="Calibri"/>
                <w:bCs/>
                <w:szCs w:val="22"/>
              </w:rPr>
              <w:t>Договор за предоставяне на БФП по ПРОГРАМА ИНТЕРРЕГ V-A РУМЪНИЯ-БЪЛГАРИЯ 2014-2020г.</w:t>
            </w:r>
          </w:p>
          <w:p w:rsidR="00B87993" w:rsidRPr="00AC2F18" w:rsidRDefault="00B87993" w:rsidP="00B87993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Calibri"/>
                <w:szCs w:val="22"/>
              </w:rPr>
            </w:pPr>
            <w:r w:rsidRPr="00AC2F18">
              <w:rPr>
                <w:rFonts w:eastAsia="Calibri"/>
                <w:bCs/>
                <w:szCs w:val="22"/>
              </w:rPr>
              <w:t>„</w:t>
            </w:r>
            <w:r w:rsidRPr="00AC2F18">
              <w:rPr>
                <w:rFonts w:eastAsia="Calibri"/>
                <w:szCs w:val="22"/>
              </w:rPr>
              <w:t xml:space="preserve"> Наръчник за изпълнение на проекти на Програма ИНТЕРРЕГ V-A Румъния-България 2014-2020 </w:t>
            </w:r>
            <w:r w:rsidRPr="00AC2F18">
              <w:rPr>
                <w:rFonts w:eastAsia="Calibri"/>
                <w:bCs/>
                <w:szCs w:val="22"/>
              </w:rPr>
              <w:t>-</w:t>
            </w:r>
            <w:r w:rsidRPr="00AC2F18">
              <w:rPr>
                <w:rFonts w:eastAsia="Calibri"/>
                <w:szCs w:val="22"/>
              </w:rPr>
              <w:t xml:space="preserve"> </w:t>
            </w:r>
            <w:r w:rsidRPr="00AC2F18">
              <w:rPr>
                <w:rFonts w:eastAsia="Calibri"/>
                <w:bCs/>
                <w:szCs w:val="22"/>
              </w:rPr>
              <w:t>http://www.interregrobg.eu/en/rules-of-implementation/programme-rules/project-implementation-manual.html;</w:t>
            </w:r>
          </w:p>
          <w:p w:rsidR="00B87993" w:rsidRPr="00AC2F18" w:rsidRDefault="00B87993" w:rsidP="00B87993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Calibri"/>
                <w:szCs w:val="22"/>
              </w:rPr>
            </w:pPr>
            <w:r w:rsidRPr="00AC2F18">
              <w:rPr>
                <w:rFonts w:eastAsia="Calibri"/>
                <w:bCs/>
                <w:szCs w:val="22"/>
              </w:rPr>
              <w:t xml:space="preserve">Наръчник за визуална идентичност на </w:t>
            </w:r>
            <w:r w:rsidRPr="00AC2F18">
              <w:rPr>
                <w:rFonts w:eastAsia="Calibri"/>
                <w:szCs w:val="22"/>
              </w:rPr>
              <w:t>Програма ИНТЕРРЕГ V-A Румъния-България 2014-2020</w:t>
            </w:r>
            <w:r w:rsidRPr="00AC2F18">
              <w:rPr>
                <w:rFonts w:eastAsia="Calibri"/>
                <w:bCs/>
                <w:szCs w:val="22"/>
              </w:rPr>
              <w:t xml:space="preserve"> - http://www.interregrobg.eu/bg/rules-of-implementation/programme-rules/visual-identity-manual-bg.html;</w:t>
            </w:r>
          </w:p>
          <w:p w:rsidR="00B87993" w:rsidRDefault="00B87993" w:rsidP="00B87993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Calibri"/>
                <w:szCs w:val="22"/>
              </w:rPr>
            </w:pPr>
            <w:r w:rsidRPr="00AC2F18">
              <w:rPr>
                <w:rFonts w:eastAsia="Calibri"/>
                <w:bCs/>
                <w:szCs w:val="22"/>
              </w:rPr>
              <w:t xml:space="preserve">Други указания, наръчници, насоки, ръководства, вътрешни правила, актове и др. по </w:t>
            </w:r>
            <w:r w:rsidRPr="00AC2F18">
              <w:rPr>
                <w:rFonts w:eastAsia="Calibri"/>
                <w:szCs w:val="22"/>
              </w:rPr>
              <w:t>Програма ИНТЕРРЕГ V-A Румъния-България 2014-2020</w:t>
            </w:r>
            <w:r w:rsidRPr="00AC2F18">
              <w:rPr>
                <w:rFonts w:eastAsia="Calibri"/>
                <w:bCs/>
                <w:szCs w:val="22"/>
              </w:rPr>
              <w:t>, които са публични или са предоставени от Възложителя на Изпълнителя</w:t>
            </w:r>
            <w:r>
              <w:rPr>
                <w:rFonts w:eastAsia="Calibri"/>
                <w:bCs/>
                <w:szCs w:val="22"/>
              </w:rPr>
              <w:t xml:space="preserve"> - </w:t>
            </w:r>
            <w:r w:rsidRPr="00AC2F18">
              <w:rPr>
                <w:rFonts w:eastAsia="Calibri"/>
                <w:bCs/>
                <w:szCs w:val="22"/>
              </w:rPr>
              <w:t>http://www.interregrobg.eu</w:t>
            </w:r>
            <w:r w:rsidRPr="00AC2F18">
              <w:rPr>
                <w:rFonts w:eastAsia="Calibri"/>
                <w:szCs w:val="22"/>
              </w:rPr>
              <w:t>;</w:t>
            </w:r>
          </w:p>
          <w:p w:rsidR="00B87993" w:rsidRPr="007555B5" w:rsidRDefault="00B87993" w:rsidP="00FE0E62">
            <w:pPr>
              <w:spacing w:after="120"/>
              <w:jc w:val="both"/>
              <w:rPr>
                <w:rFonts w:ascii="TimesNewRomanUnicode,Bold" w:eastAsia="Calibri" w:hAnsi="TimesNewRomanUnicode,Bold"/>
                <w:szCs w:val="22"/>
              </w:rPr>
            </w:pPr>
            <w:r w:rsidRPr="00B87993">
              <w:rPr>
                <w:rFonts w:ascii="TimesNewRomanUnicode,Bold" w:hAnsi="TimesNewRomanUnicode,Bold"/>
                <w:bCs/>
                <w:color w:val="000000"/>
              </w:rPr>
              <w:t>Възложителят ще предостави на Изпълнителя проучване във връзка с планирането на водните пътища в трансграничния регион за сътрудничество включващо и добри практики изготвено от румънския партньор по проекта при стартиране на дейността му.</w:t>
            </w:r>
          </w:p>
        </w:tc>
      </w:tr>
      <w:tr w:rsidR="00B87993" w:rsidRPr="00694BD8" w:rsidTr="002559F0">
        <w:trPr>
          <w:trHeight w:val="284"/>
        </w:trPr>
        <w:tc>
          <w:tcPr>
            <w:tcW w:w="0" w:type="auto"/>
            <w:shd w:val="clear" w:color="auto" w:fill="BFBFBF"/>
            <w:noWrap/>
            <w:vAlign w:val="bottom"/>
          </w:tcPr>
          <w:p w:rsidR="00B87993" w:rsidRPr="00694BD8" w:rsidRDefault="00435B59" w:rsidP="00FE0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 за изпълнение</w:t>
            </w:r>
          </w:p>
        </w:tc>
      </w:tr>
      <w:tr w:rsidR="00B87993" w:rsidRPr="00694BD8" w:rsidTr="002559F0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</w:tcPr>
          <w:p w:rsidR="00B87993" w:rsidRPr="00D047A8" w:rsidRDefault="00B87993" w:rsidP="00FE0E62">
            <w:pPr>
              <w:autoSpaceDE w:val="0"/>
              <w:autoSpaceDN w:val="0"/>
              <w:adjustRightInd w:val="0"/>
              <w:spacing w:after="120"/>
              <w:jc w:val="both"/>
            </w:pPr>
            <w:r w:rsidRPr="003B35F4">
              <w:t xml:space="preserve">Срокът за изпълнение на договора за услуга, който ще се сключи в резултата от проведената обществена поръчка е </w:t>
            </w:r>
            <w:bookmarkStart w:id="2" w:name="_Hlk482957179"/>
            <w:r>
              <w:rPr>
                <w:lang w:val="en-US"/>
              </w:rPr>
              <w:t>3</w:t>
            </w:r>
            <w:r>
              <w:t>0 календарни дни</w:t>
            </w:r>
            <w:r w:rsidRPr="003B35F4">
              <w:t xml:space="preserve"> от деня следващ датата на подписване на Договора</w:t>
            </w:r>
            <w:bookmarkEnd w:id="2"/>
            <w:r>
              <w:t>. Договорът се счита за приключен след подписване на окончателен протокол за приемане на работата на Изпълнителя от Възложителя.</w:t>
            </w:r>
          </w:p>
        </w:tc>
      </w:tr>
      <w:tr w:rsidR="00B87993" w:rsidRPr="00694BD8" w:rsidTr="002559F0">
        <w:trPr>
          <w:trHeight w:val="284"/>
        </w:trPr>
        <w:tc>
          <w:tcPr>
            <w:tcW w:w="0" w:type="auto"/>
            <w:shd w:val="clear" w:color="auto" w:fill="BFBFBF"/>
            <w:noWrap/>
            <w:vAlign w:val="bottom"/>
          </w:tcPr>
          <w:p w:rsidR="00B87993" w:rsidRPr="00B10185" w:rsidRDefault="00B87993" w:rsidP="00FE0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Съдържание на стратегическия документ</w:t>
            </w:r>
          </w:p>
        </w:tc>
      </w:tr>
      <w:tr w:rsidR="00B87993" w:rsidRPr="00694BD8" w:rsidTr="002559F0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</w:tcPr>
          <w:p w:rsidR="00B87993" w:rsidRPr="005F46C7" w:rsidRDefault="00B87993" w:rsidP="00FE0E62">
            <w:pPr>
              <w:jc w:val="both"/>
              <w:rPr>
                <w:rFonts w:eastAsia="Arial Unicode MS"/>
                <w:color w:val="000000"/>
                <w:lang w:bidi="bg-BG"/>
              </w:rPr>
            </w:pPr>
            <w:bookmarkStart w:id="3" w:name="_Toc470118259"/>
            <w:r w:rsidRPr="005F46C7">
              <w:rPr>
                <w:rFonts w:eastAsia="Arial Unicode MS"/>
                <w:color w:val="000000"/>
                <w:lang w:bidi="bg-BG"/>
              </w:rPr>
              <w:t xml:space="preserve"> </w:t>
            </w:r>
            <w:bookmarkEnd w:id="3"/>
            <w:r w:rsidRPr="005F46C7">
              <w:rPr>
                <w:rFonts w:eastAsia="Arial Unicode MS"/>
                <w:color w:val="000000"/>
                <w:lang w:bidi="bg-BG"/>
              </w:rPr>
              <w:t>Изработената съвместна стратегия, включващ</w:t>
            </w:r>
            <w:r>
              <w:rPr>
                <w:rFonts w:eastAsia="Arial Unicode MS"/>
                <w:color w:val="000000"/>
                <w:lang w:bidi="bg-BG"/>
              </w:rPr>
              <w:t>а</w:t>
            </w:r>
            <w:r w:rsidRPr="005F46C7">
              <w:rPr>
                <w:rFonts w:eastAsia="Arial Unicode MS"/>
                <w:color w:val="000000"/>
                <w:lang w:bidi="bg-BG"/>
              </w:rPr>
              <w:t xml:space="preserve"> минимум следните части:</w:t>
            </w:r>
          </w:p>
          <w:p w:rsidR="00B87993" w:rsidRPr="005F46C7" w:rsidRDefault="00B87993" w:rsidP="00B87993">
            <w:pPr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5F46C7">
              <w:rPr>
                <w:rFonts w:eastAsia="Arial Unicode MS"/>
                <w:color w:val="000000"/>
                <w:lang w:bidi="bg-BG"/>
              </w:rPr>
              <w:t>Въведение</w:t>
            </w:r>
          </w:p>
          <w:p w:rsidR="00B87993" w:rsidRPr="005F46C7" w:rsidRDefault="00B87993" w:rsidP="00B87993">
            <w:pPr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5F46C7">
              <w:rPr>
                <w:rFonts w:eastAsia="Arial Unicode MS"/>
                <w:color w:val="000000"/>
                <w:lang w:bidi="bg-BG"/>
              </w:rPr>
              <w:lastRenderedPageBreak/>
              <w:t xml:space="preserve"> Разглеждане на състоянието на инфраструктурата на водния транспорт по река Дунав.</w:t>
            </w:r>
          </w:p>
          <w:p w:rsidR="00B87993" w:rsidRPr="005F46C7" w:rsidRDefault="00B87993" w:rsidP="00B87993">
            <w:pPr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>
              <w:rPr>
                <w:rFonts w:eastAsia="Arial Unicode MS"/>
                <w:color w:val="000000"/>
                <w:lang w:bidi="bg-BG"/>
              </w:rPr>
              <w:t>Дефиниране</w:t>
            </w:r>
            <w:r w:rsidRPr="005F46C7">
              <w:rPr>
                <w:rFonts w:eastAsia="Arial Unicode MS"/>
                <w:color w:val="000000"/>
                <w:lang w:bidi="bg-BG"/>
              </w:rPr>
              <w:t xml:space="preserve"> на проблема за безопасността на навигацията в Долен Дунав. </w:t>
            </w:r>
          </w:p>
          <w:p w:rsidR="00B87993" w:rsidRPr="005F46C7" w:rsidRDefault="00B87993" w:rsidP="00B87993">
            <w:pPr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5F46C7">
              <w:rPr>
                <w:rFonts w:eastAsia="Arial Unicode MS"/>
                <w:color w:val="000000"/>
                <w:lang w:bidi="bg-BG"/>
              </w:rPr>
              <w:t>Обяснение за необходимостта от съвместни усилия за преодоляване на проблема.</w:t>
            </w:r>
          </w:p>
          <w:p w:rsidR="00B87993" w:rsidRPr="005F46C7" w:rsidRDefault="00B87993" w:rsidP="00B87993">
            <w:pPr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>
              <w:rPr>
                <w:rFonts w:eastAsia="Arial Unicode MS"/>
                <w:color w:val="000000"/>
                <w:lang w:bidi="bg-BG"/>
              </w:rPr>
              <w:t>Визия, мисия и с</w:t>
            </w:r>
            <w:r w:rsidRPr="005F46C7">
              <w:rPr>
                <w:rFonts w:eastAsia="Arial Unicode MS"/>
                <w:color w:val="000000"/>
                <w:lang w:bidi="bg-BG"/>
              </w:rPr>
              <w:t>тратегически и оперативни цели</w:t>
            </w:r>
          </w:p>
          <w:p w:rsidR="00B87993" w:rsidRPr="005F46C7" w:rsidRDefault="00B87993" w:rsidP="00B87993">
            <w:pPr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5F46C7">
              <w:rPr>
                <w:rFonts w:eastAsia="Arial Unicode MS"/>
                <w:color w:val="000000"/>
                <w:lang w:bidi="bg-BG"/>
              </w:rPr>
              <w:t>SWOT анализ на общите водни пътища</w:t>
            </w:r>
          </w:p>
          <w:p w:rsidR="00B87993" w:rsidRPr="005F46C7" w:rsidRDefault="00B87993" w:rsidP="00B87993">
            <w:pPr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5F46C7">
              <w:rPr>
                <w:rFonts w:eastAsia="Arial Unicode MS"/>
                <w:color w:val="000000"/>
                <w:lang w:bidi="bg-BG"/>
              </w:rPr>
              <w:t>Мерки за управление на риска</w:t>
            </w:r>
          </w:p>
          <w:p w:rsidR="00B87993" w:rsidRPr="005F46C7" w:rsidRDefault="00B87993" w:rsidP="00B87993">
            <w:pPr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5F46C7">
              <w:rPr>
                <w:rFonts w:eastAsia="Arial Unicode MS"/>
                <w:color w:val="000000"/>
                <w:lang w:bidi="bg-BG"/>
              </w:rPr>
              <w:t>Мерки за включването на отговорните власти</w:t>
            </w:r>
          </w:p>
          <w:p w:rsidR="00B87993" w:rsidRPr="005F46C7" w:rsidRDefault="00B87993" w:rsidP="00B87993">
            <w:pPr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5F46C7">
              <w:rPr>
                <w:rFonts w:eastAsia="Arial Unicode MS"/>
                <w:color w:val="000000"/>
                <w:lang w:bidi="bg-BG"/>
              </w:rPr>
              <w:t>Мерки за оптимизиране на водните пътища в трансграничния регион</w:t>
            </w:r>
            <w:r>
              <w:rPr>
                <w:rFonts w:eastAsia="Arial Unicode MS"/>
                <w:color w:val="000000"/>
                <w:lang w:bidi="bg-BG"/>
              </w:rPr>
              <w:t>.</w:t>
            </w:r>
          </w:p>
          <w:p w:rsidR="00B87993" w:rsidRPr="005F46C7" w:rsidRDefault="00B87993" w:rsidP="00B87993">
            <w:pPr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5F46C7">
              <w:rPr>
                <w:rFonts w:eastAsia="Arial Unicode MS"/>
                <w:color w:val="000000"/>
                <w:lang w:bidi="bg-BG"/>
              </w:rPr>
              <w:t>Инвестиционни приоритети</w:t>
            </w:r>
          </w:p>
          <w:p w:rsidR="00B87993" w:rsidRPr="00A534E5" w:rsidRDefault="00B87993" w:rsidP="00B87993">
            <w:pPr>
              <w:numPr>
                <w:ilvl w:val="0"/>
                <w:numId w:val="4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5F46C7">
              <w:rPr>
                <w:rFonts w:eastAsia="Arial Unicode MS"/>
                <w:color w:val="000000"/>
                <w:lang w:bidi="bg-BG"/>
              </w:rPr>
              <w:t>Препоръки</w:t>
            </w:r>
          </w:p>
        </w:tc>
      </w:tr>
      <w:tr w:rsidR="00B87993" w:rsidRPr="00694BD8" w:rsidTr="002559F0">
        <w:trPr>
          <w:trHeight w:val="284"/>
        </w:trPr>
        <w:tc>
          <w:tcPr>
            <w:tcW w:w="0" w:type="auto"/>
            <w:shd w:val="clear" w:color="auto" w:fill="BFBFBF"/>
            <w:noWrap/>
            <w:vAlign w:val="bottom"/>
          </w:tcPr>
          <w:p w:rsidR="00B87993" w:rsidRPr="005F46C7" w:rsidRDefault="00B87993" w:rsidP="00FE0E62">
            <w:pPr>
              <w:jc w:val="both"/>
              <w:rPr>
                <w:rFonts w:eastAsia="Arial Unicode MS"/>
                <w:color w:val="000000"/>
                <w:lang w:bidi="bg-BG"/>
              </w:rPr>
            </w:pPr>
            <w:r>
              <w:rPr>
                <w:color w:val="000000"/>
              </w:rPr>
              <w:lastRenderedPageBreak/>
              <w:t>Описание на дейностите</w:t>
            </w:r>
          </w:p>
        </w:tc>
      </w:tr>
      <w:tr w:rsidR="00B87993" w:rsidRPr="00694BD8" w:rsidTr="002559F0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</w:tcPr>
          <w:p w:rsidR="00B87993" w:rsidRDefault="00B87993" w:rsidP="00FE0E62">
            <w:pPr>
              <w:jc w:val="both"/>
              <w:rPr>
                <w:rFonts w:eastAsia="Arial Unicode MS"/>
                <w:color w:val="000000"/>
                <w:lang w:bidi="bg-BG"/>
              </w:rPr>
            </w:pPr>
            <w:r>
              <w:rPr>
                <w:rFonts w:eastAsia="Arial Unicode MS"/>
                <w:color w:val="000000"/>
                <w:lang w:bidi="bg-BG"/>
              </w:rPr>
              <w:t>За изпълнение на обществената поръчка е необходимо да се осъществят следните дейности:</w:t>
            </w:r>
          </w:p>
          <w:p w:rsidR="00B87993" w:rsidRDefault="00B87993" w:rsidP="00FE0E62">
            <w:pPr>
              <w:jc w:val="center"/>
              <w:rPr>
                <w:rFonts w:eastAsia="Arial Unicode MS"/>
                <w:b/>
                <w:color w:val="000000"/>
                <w:lang w:bidi="bg-BG"/>
              </w:rPr>
            </w:pPr>
            <w:r w:rsidRPr="00B331E6">
              <w:rPr>
                <w:rFonts w:eastAsia="Arial Unicode MS"/>
                <w:b/>
                <w:color w:val="000000"/>
                <w:lang w:bidi="bg-BG"/>
              </w:rPr>
              <w:t>ОПИСАНИЕ НА ДЕЙНОСТИТЕ</w:t>
            </w:r>
          </w:p>
          <w:p w:rsidR="00B87993" w:rsidRPr="00B331E6" w:rsidRDefault="00B87993" w:rsidP="00FE0E62">
            <w:pPr>
              <w:jc w:val="center"/>
              <w:rPr>
                <w:rFonts w:eastAsia="Arial Unicode MS"/>
                <w:b/>
                <w:color w:val="000000"/>
                <w:lang w:bidi="bg-BG"/>
              </w:rPr>
            </w:pPr>
          </w:p>
          <w:p w:rsidR="00B87993" w:rsidRPr="008C6AB8" w:rsidRDefault="00B87993" w:rsidP="00FE0E62">
            <w:pPr>
              <w:pStyle w:val="a9"/>
              <w:rPr>
                <w:rFonts w:eastAsia="Arial Unicode MS"/>
                <w:b/>
                <w:color w:val="000000"/>
                <w:lang w:bidi="bg-BG"/>
              </w:rPr>
            </w:pPr>
            <w:r>
              <w:rPr>
                <w:rFonts w:eastAsia="Arial Unicode MS"/>
                <w:b/>
                <w:color w:val="000000"/>
                <w:lang w:bidi="bg-BG"/>
              </w:rPr>
              <w:t xml:space="preserve">Дейност 1: </w:t>
            </w:r>
            <w:r w:rsidRPr="008C6AB8">
              <w:rPr>
                <w:rFonts w:eastAsia="Arial Unicode MS"/>
                <w:b/>
                <w:color w:val="000000"/>
                <w:lang w:bidi="bg-BG"/>
              </w:rPr>
              <w:t xml:space="preserve">Изготвяне на цялостен </w:t>
            </w:r>
            <w:r w:rsidRPr="00B86149">
              <w:rPr>
                <w:rFonts w:eastAsia="Arial Unicode MS"/>
                <w:b/>
                <w:color w:val="000000"/>
                <w:lang w:bidi="bg-BG"/>
              </w:rPr>
              <w:t>ситуационен анализ на състоянието на инфраструктурата на водния транспорт по Долен Дунав в рамките на трансграничния регион Румъния-България</w:t>
            </w:r>
          </w:p>
          <w:p w:rsidR="00B87993" w:rsidRPr="00B86149" w:rsidRDefault="00B87993" w:rsidP="00FE0E62">
            <w:pPr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Целта на ситуационния анализ е да осигури дефиниция на състоянието, тенденциите и факторите за развитие на инфраструктурата на водния транспорт по Долен Дунав в рамките на трансграничния регион Румъния-България.</w:t>
            </w:r>
          </w:p>
          <w:p w:rsidR="00B87993" w:rsidRPr="00B86149" w:rsidRDefault="00B87993" w:rsidP="00FE0E62">
            <w:pPr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Анализът следва да включва:</w:t>
            </w:r>
          </w:p>
          <w:p w:rsidR="00B87993" w:rsidRPr="00B86149" w:rsidRDefault="00B87993" w:rsidP="00B87993">
            <w:pPr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Разглеждане на състоянието на инфраструктурата на водния транспорт по река Дунав.</w:t>
            </w:r>
          </w:p>
          <w:p w:rsidR="00B87993" w:rsidRPr="00B86149" w:rsidRDefault="00B87993" w:rsidP="00B87993">
            <w:pPr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 xml:space="preserve">Дефиниране на проблема за безопасността на навигацията в Долен Дунав в рамките на трансграничния регион Румъния-България. 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Обяснение за необходимостта от съвместни усилия за преодоляване на проблема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 xml:space="preserve">SWOT анализ. Чрез метода за групиране, анализиране и обобщаване на голям обем информация ще бъдат осигурени анализ на текущото състояние (силни и слаби страни на общите водни пътища в трансграничния регион Румъния-България) и бъдещите перспективи (възможности и заплахи в краткосрочен, средносрочен и дългосрочен план). При изготвяне на SWOT анализа следва да бъде извършено приоритизиране, за да се избегне синдромът на „дългия </w:t>
            </w:r>
            <w:proofErr w:type="gramStart"/>
            <w:r w:rsidRPr="00B86149">
              <w:rPr>
                <w:rFonts w:eastAsia="Arial Unicode MS"/>
                <w:color w:val="000000"/>
                <w:lang w:bidi="bg-BG"/>
              </w:rPr>
              <w:t>списък“ (</w:t>
            </w:r>
            <w:proofErr w:type="gramEnd"/>
            <w:r w:rsidRPr="00B86149">
              <w:rPr>
                <w:rFonts w:eastAsia="Arial Unicode MS"/>
                <w:color w:val="000000"/>
                <w:lang w:bidi="bg-BG"/>
              </w:rPr>
              <w:t>поредица за всяка категория). Трябва да се цели постигане на максимално ясно изложение на съставните части на анализа.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Анализ на добри практики за развитие на водни пътища в европейски контекст.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Идентифициране на отговорните власти, анализиране на тяхната роля в целия процес. Анализ на добри практики при ангажирането на отговорни власти в подобряването на безопасността на навигацията по река Дунав.</w:t>
            </w:r>
          </w:p>
          <w:p w:rsidR="00B87993" w:rsidRPr="00B86149" w:rsidRDefault="00B87993" w:rsidP="00B87993">
            <w:pPr>
              <w:numPr>
                <w:ilvl w:val="0"/>
                <w:numId w:val="3"/>
              </w:numPr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 xml:space="preserve">Анализ на риска, свързан с навигацията в Долен Дунав в трансграничния регион Румъния-България: идентифициране на риска, установяване </w:t>
            </w:r>
            <w:proofErr w:type="gramStart"/>
            <w:r w:rsidRPr="00B86149">
              <w:rPr>
                <w:rFonts w:eastAsia="Arial Unicode MS"/>
                <w:color w:val="000000"/>
                <w:lang w:bidi="bg-BG"/>
              </w:rPr>
              <w:t>на  конкретните</w:t>
            </w:r>
            <w:proofErr w:type="gramEnd"/>
            <w:r w:rsidRPr="00B86149">
              <w:rPr>
                <w:rFonts w:eastAsia="Arial Unicode MS"/>
                <w:color w:val="000000"/>
                <w:lang w:bidi="bg-BG"/>
              </w:rPr>
              <w:t xml:space="preserve"> рискове, оценка на този риск</w:t>
            </w:r>
          </w:p>
          <w:p w:rsidR="00B87993" w:rsidRPr="00B86149" w:rsidRDefault="00B87993" w:rsidP="00FE0E62">
            <w:pPr>
              <w:jc w:val="both"/>
              <w:rPr>
                <w:rFonts w:eastAsia="Arial Unicode MS"/>
                <w:i/>
                <w:color w:val="000000"/>
                <w:u w:val="single"/>
                <w:lang w:bidi="bg-BG"/>
              </w:rPr>
            </w:pPr>
            <w:r w:rsidRPr="00B86149">
              <w:rPr>
                <w:rFonts w:eastAsia="Arial Unicode MS"/>
                <w:i/>
                <w:color w:val="000000"/>
                <w:u w:val="single"/>
                <w:lang w:bidi="bg-BG"/>
              </w:rPr>
              <w:t>Очаквани резултати от Дейност 1: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lastRenderedPageBreak/>
              <w:t>Цялостен ситуационен анализ, който да разгледа общото състояние на инфраструктурата на водния транспорт по Долен Дунав, описание на проблеми, свързани с навигацията и безопасността, анализ на добри практики за развитие и ангажиране на отговорни власти, анализ на риска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Изготвен доклад с резултатите от анализа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Изготвено резюме като проект за текст, който да бъде включен в окончателния вариант на Стратегията, според посоченото съдържание на стратегическия документ</w:t>
            </w:r>
          </w:p>
          <w:p w:rsidR="00B87993" w:rsidRPr="008C6AB8" w:rsidRDefault="00B87993" w:rsidP="00FE0E62">
            <w:pPr>
              <w:pStyle w:val="a9"/>
              <w:rPr>
                <w:rFonts w:eastAsia="Arial Unicode MS"/>
                <w:b/>
                <w:color w:val="000000"/>
                <w:lang w:bidi="bg-BG"/>
              </w:rPr>
            </w:pPr>
            <w:r w:rsidRPr="00B86149">
              <w:rPr>
                <w:rFonts w:eastAsia="Arial Unicode MS"/>
                <w:b/>
                <w:color w:val="000000"/>
                <w:lang w:bidi="bg-BG"/>
              </w:rPr>
              <w:t xml:space="preserve">Дейност 2: Изготвяне на стратегическа рамка на </w:t>
            </w:r>
            <w:r w:rsidRPr="00B86149">
              <w:rPr>
                <w:b/>
                <w:bCs/>
                <w:color w:val="000000"/>
              </w:rPr>
              <w:t>Съвместна стратегия за подобряване на безопасността на навигацията в Долен Дунав в рамките на трансграничния регион Румъния-България</w:t>
            </w:r>
          </w:p>
          <w:p w:rsidR="00B87993" w:rsidRPr="00B87993" w:rsidRDefault="00B87993" w:rsidP="00FE0E62">
            <w:pPr>
              <w:jc w:val="both"/>
              <w:rPr>
                <w:rFonts w:eastAsia="Arial Unicode MS"/>
                <w:color w:val="000000"/>
                <w:lang w:bidi="bg-BG"/>
              </w:rPr>
            </w:pPr>
            <w:r>
              <w:rPr>
                <w:rFonts w:eastAsia="Arial Unicode MS"/>
                <w:color w:val="000000"/>
                <w:lang w:bidi="bg-BG"/>
              </w:rPr>
              <w:t xml:space="preserve">Целта на стратегическата рамка на Стратегията е да очертае ясно посоката на развитие за </w:t>
            </w:r>
            <w:r w:rsidRPr="008C6AB8">
              <w:rPr>
                <w:rFonts w:eastAsia="Arial Unicode MS"/>
                <w:color w:val="000000"/>
                <w:lang w:bidi="bg-BG"/>
              </w:rPr>
              <w:t>подобряване на безопасността на навигацията в Долен Дунав</w:t>
            </w:r>
            <w:r>
              <w:rPr>
                <w:rFonts w:eastAsia="Arial Unicode MS"/>
                <w:color w:val="000000"/>
                <w:lang w:bidi="bg-BG"/>
              </w:rPr>
              <w:t xml:space="preserve"> и да служи за основа на разработване на план за действие. </w:t>
            </w:r>
            <w:r w:rsidRPr="005F46C7">
              <w:rPr>
                <w:rFonts w:eastAsia="Arial Unicode MS"/>
                <w:color w:val="000000"/>
                <w:lang w:bidi="bg-BG"/>
              </w:rPr>
              <w:t xml:space="preserve">Стратегията следва да включва етап на стратегическо планиране, което е представено с определяне </w:t>
            </w:r>
            <w:r>
              <w:rPr>
                <w:rFonts w:eastAsia="Arial Unicode MS"/>
                <w:color w:val="000000"/>
                <w:lang w:bidi="bg-BG"/>
              </w:rPr>
              <w:t xml:space="preserve">на визия, мисия и </w:t>
            </w:r>
            <w:r w:rsidRPr="005F46C7">
              <w:rPr>
                <w:rFonts w:eastAsia="Arial Unicode MS"/>
                <w:color w:val="000000"/>
                <w:lang w:bidi="bg-BG"/>
              </w:rPr>
              <w:t xml:space="preserve">цели на трансграничния регион за подобряване безопасността на навигацията в Долен Дунав. </w:t>
            </w:r>
          </w:p>
          <w:p w:rsidR="00B87993" w:rsidRPr="00B86149" w:rsidRDefault="00B87993" w:rsidP="00FE0E62">
            <w:pPr>
              <w:jc w:val="both"/>
              <w:rPr>
                <w:rFonts w:eastAsia="Arial Unicode MS"/>
                <w:color w:val="000000"/>
                <w:lang w:bidi="bg-BG"/>
              </w:rPr>
            </w:pPr>
            <w:r w:rsidRPr="00B34C13">
              <w:rPr>
                <w:rFonts w:eastAsia="Arial Unicode MS"/>
                <w:b/>
                <w:color w:val="000000"/>
                <w:lang w:bidi="bg-BG"/>
              </w:rPr>
              <w:t>Визията</w:t>
            </w:r>
            <w:r>
              <w:rPr>
                <w:rFonts w:eastAsia="Arial Unicode MS"/>
                <w:color w:val="000000"/>
                <w:lang w:bidi="bg-BG"/>
              </w:rPr>
              <w:t xml:space="preserve"> следва кратко и ясно да представи желаното бъдещо състояние за безопасността и </w:t>
            </w:r>
            <w:r w:rsidRPr="00B86149">
              <w:rPr>
                <w:rFonts w:eastAsia="Arial Unicode MS"/>
                <w:color w:val="000000"/>
                <w:lang w:bidi="bg-BG"/>
              </w:rPr>
              <w:t>навигацията по Долен Дунав.</w:t>
            </w:r>
          </w:p>
          <w:p w:rsidR="00B87993" w:rsidRPr="00B86149" w:rsidRDefault="00B87993" w:rsidP="00FE0E62">
            <w:pPr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b/>
                <w:color w:val="000000"/>
                <w:lang w:bidi="bg-BG"/>
              </w:rPr>
              <w:t>Мисията</w:t>
            </w:r>
            <w:r w:rsidRPr="00B86149">
              <w:rPr>
                <w:rFonts w:eastAsia="Arial Unicode MS"/>
                <w:color w:val="000000"/>
                <w:lang w:bidi="bg-BG"/>
              </w:rPr>
              <w:t xml:space="preserve"> следва да кореспондира с </w:t>
            </w:r>
            <w:r>
              <w:rPr>
                <w:rFonts w:eastAsia="Arial Unicode MS"/>
                <w:color w:val="000000"/>
                <w:lang w:bidi="bg-BG"/>
              </w:rPr>
              <w:t>виз</w:t>
            </w:r>
            <w:r w:rsidRPr="00B86149">
              <w:rPr>
                <w:rFonts w:eastAsia="Arial Unicode MS"/>
                <w:color w:val="000000"/>
                <w:lang w:bidi="bg-BG"/>
              </w:rPr>
              <w:t>ията и да очертае средносрочното реализиране на плануваните действия за подобряване на безопасността на навигацията в Долен Дунав.</w:t>
            </w:r>
          </w:p>
          <w:p w:rsidR="00B87993" w:rsidRPr="00B86149" w:rsidRDefault="00B87993" w:rsidP="00FE0E62">
            <w:pPr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b/>
                <w:color w:val="000000"/>
                <w:lang w:bidi="bg-BG"/>
              </w:rPr>
              <w:t>Целите</w:t>
            </w:r>
            <w:r w:rsidRPr="00B86149">
              <w:rPr>
                <w:rFonts w:eastAsia="Arial Unicode MS"/>
                <w:color w:val="000000"/>
                <w:lang w:bidi="bg-BG"/>
              </w:rPr>
              <w:t xml:space="preserve"> следва да са декомпозирани на стратегически и оперативни.</w:t>
            </w:r>
          </w:p>
          <w:p w:rsidR="00B87993" w:rsidRPr="00B86149" w:rsidRDefault="00B87993" w:rsidP="00FE0E62">
            <w:pPr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- Стратегическите цели са дългосрочни и от тяхното изпълнение зависи решаването на проблема – подобряване на безопасността на навигацията в Долен Дунав.</w:t>
            </w:r>
          </w:p>
          <w:p w:rsidR="00B87993" w:rsidRPr="00B86149" w:rsidRDefault="00B87993" w:rsidP="00FE0E62">
            <w:pPr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- Оперативните следва да детайлизират в по-големи подробности самите стратегически цели и да са дефинирани в рамките на определен период от време.</w:t>
            </w:r>
          </w:p>
          <w:p w:rsidR="00B87993" w:rsidRPr="00B86149" w:rsidRDefault="00B87993" w:rsidP="00FE0E62">
            <w:pPr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Целите трябва да бъдат качествено и количествено детерминирани, да съдържат времето и мястото, за което те са предназначени.</w:t>
            </w:r>
          </w:p>
          <w:p w:rsidR="00B87993" w:rsidRPr="00B86149" w:rsidRDefault="00B87993" w:rsidP="00FE0E62">
            <w:pPr>
              <w:rPr>
                <w:rFonts w:eastAsia="Arial Unicode MS"/>
                <w:b/>
                <w:color w:val="000000"/>
                <w:lang w:bidi="bg-BG"/>
              </w:rPr>
            </w:pPr>
            <w:r w:rsidRPr="00B86149">
              <w:rPr>
                <w:rFonts w:eastAsia="Arial Unicode MS"/>
                <w:b/>
                <w:color w:val="000000"/>
                <w:lang w:bidi="bg-BG"/>
              </w:rPr>
              <w:t>Изготвянето на стратегическата рамка следва да се основава на резултатите от Дейност 1.</w:t>
            </w:r>
          </w:p>
          <w:p w:rsidR="00B87993" w:rsidRPr="00B86149" w:rsidRDefault="00B87993" w:rsidP="00FE0E62">
            <w:pPr>
              <w:rPr>
                <w:rFonts w:eastAsia="Arial Unicode MS"/>
                <w:i/>
                <w:color w:val="000000"/>
                <w:u w:val="single"/>
                <w:lang w:bidi="bg-BG"/>
              </w:rPr>
            </w:pPr>
            <w:r w:rsidRPr="00B86149">
              <w:rPr>
                <w:rFonts w:eastAsia="Arial Unicode MS"/>
                <w:i/>
                <w:color w:val="000000"/>
                <w:u w:val="single"/>
                <w:lang w:bidi="bg-BG"/>
              </w:rPr>
              <w:t>Очаквани резултати от Дейност 2: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b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Доклад, който обобщава дейностите на Изпълнителя за изготвянето на стратегическата рамка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b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Изготвена стратегическа рамка, която включва визия, мисия и стратегически и оперативни цели, според описаното съдържание на Стратегията.</w:t>
            </w:r>
          </w:p>
          <w:p w:rsidR="00B87993" w:rsidRPr="00B86149" w:rsidRDefault="00B87993" w:rsidP="00FE0E62">
            <w:pPr>
              <w:pStyle w:val="a9"/>
              <w:rPr>
                <w:rFonts w:eastAsia="Arial Unicode MS"/>
                <w:b/>
                <w:color w:val="000000"/>
                <w:lang w:bidi="bg-BG"/>
              </w:rPr>
            </w:pPr>
          </w:p>
          <w:p w:rsidR="00B87993" w:rsidRPr="00B86149" w:rsidRDefault="00B87993" w:rsidP="00FE0E62">
            <w:pPr>
              <w:pStyle w:val="a9"/>
              <w:rPr>
                <w:rFonts w:eastAsia="Arial Unicode MS"/>
                <w:b/>
                <w:color w:val="000000"/>
                <w:lang w:bidi="bg-BG"/>
              </w:rPr>
            </w:pPr>
            <w:r w:rsidRPr="00B86149">
              <w:rPr>
                <w:rFonts w:eastAsia="Arial Unicode MS"/>
                <w:b/>
                <w:color w:val="000000"/>
                <w:lang w:bidi="bg-BG"/>
              </w:rPr>
              <w:t>Дейност 3: Разработване на план за действие</w:t>
            </w:r>
          </w:p>
          <w:p w:rsidR="00B87993" w:rsidRPr="00B86149" w:rsidRDefault="00B87993" w:rsidP="00FE0E62">
            <w:pPr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Целта на плана за действие е да представи ефективен и ефикасен механизъм за изпълнение и наблюдение на Стратегията.</w:t>
            </w:r>
          </w:p>
          <w:p w:rsidR="00B87993" w:rsidRPr="00B86149" w:rsidRDefault="00B87993" w:rsidP="00FE0E62">
            <w:pPr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В тази част следва да фигурират: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Мерки за управление на риска - реакция на риска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Мерки за включването на отговорните власти – от българска и румънска страна, както и времевия хоризонт за това.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Мерки за оптимизиране на водните пътища в трансграничния регион.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lastRenderedPageBreak/>
              <w:t>Инвестиционни приоритети - определяне на основни инвестиционни приоритети на стратегията. Оформяне на индикативна финансова рамка за реализацията на Стратегията и времеви хоризонт.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Препоръки - обобщаване на резултатите от стратегията и извеждане на препоръки към заинтересованите страни за подобряване безопасността на навигацията в Долен Дунав.</w:t>
            </w:r>
          </w:p>
          <w:p w:rsidR="00B87993" w:rsidRPr="00B86149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>Идентифициране на потенциални източници на финансиране.</w:t>
            </w:r>
          </w:p>
          <w:p w:rsidR="00B87993" w:rsidRDefault="00B87993" w:rsidP="00FE0E62">
            <w:pPr>
              <w:rPr>
                <w:rFonts w:eastAsia="Arial Unicode MS"/>
                <w:i/>
                <w:color w:val="000000"/>
                <w:u w:val="single"/>
                <w:lang w:bidi="bg-BG"/>
              </w:rPr>
            </w:pPr>
            <w:r w:rsidRPr="00B34C13">
              <w:rPr>
                <w:rFonts w:eastAsia="Arial Unicode MS"/>
                <w:i/>
                <w:color w:val="000000"/>
                <w:u w:val="single"/>
                <w:lang w:bidi="bg-BG"/>
              </w:rPr>
              <w:t xml:space="preserve">Очакван резултат от Дейност </w:t>
            </w:r>
            <w:r>
              <w:rPr>
                <w:rFonts w:eastAsia="Arial Unicode MS"/>
                <w:i/>
                <w:color w:val="000000"/>
                <w:u w:val="single"/>
                <w:lang w:bidi="bg-BG"/>
              </w:rPr>
              <w:t>3</w:t>
            </w:r>
            <w:r w:rsidRPr="00B34C13">
              <w:rPr>
                <w:rFonts w:eastAsia="Arial Unicode MS"/>
                <w:i/>
                <w:color w:val="000000"/>
                <w:u w:val="single"/>
                <w:lang w:bidi="bg-BG"/>
              </w:rPr>
              <w:t>:</w:t>
            </w:r>
          </w:p>
          <w:p w:rsidR="00B87993" w:rsidRDefault="00B87993" w:rsidP="00B87993">
            <w:pPr>
              <w:pStyle w:val="a9"/>
              <w:numPr>
                <w:ilvl w:val="0"/>
                <w:numId w:val="5"/>
              </w:numPr>
              <w:spacing w:after="120" w:line="276" w:lineRule="auto"/>
              <w:jc w:val="both"/>
              <w:rPr>
                <w:rFonts w:eastAsia="Arial Unicode MS"/>
                <w:color w:val="000000"/>
                <w:lang w:bidi="bg-BG"/>
              </w:rPr>
            </w:pPr>
            <w:r>
              <w:rPr>
                <w:rFonts w:eastAsia="Arial Unicode MS"/>
                <w:color w:val="000000"/>
                <w:lang w:bidi="bg-BG"/>
              </w:rPr>
              <w:t>Разработен план за действие, включващ мерки за управление на риска, мерки за включване на отговорните власти, мерки за оптимизиране на водните пътища, инвестиционни приоритети и препоръки, готов за включване в Стратегията, според описаното съдържание</w:t>
            </w:r>
          </w:p>
          <w:p w:rsidR="00B87993" w:rsidRDefault="00B87993" w:rsidP="00FE0E62">
            <w:pPr>
              <w:pStyle w:val="a9"/>
              <w:rPr>
                <w:rFonts w:eastAsia="Arial Unicode MS"/>
                <w:b/>
                <w:color w:val="000000"/>
                <w:lang w:bidi="bg-BG"/>
              </w:rPr>
            </w:pPr>
          </w:p>
          <w:p w:rsidR="00B87993" w:rsidRPr="00AF3370" w:rsidRDefault="00B87993" w:rsidP="00FE0E62">
            <w:pPr>
              <w:pStyle w:val="a9"/>
              <w:rPr>
                <w:rFonts w:eastAsia="Arial Unicode MS"/>
                <w:b/>
                <w:color w:val="000000"/>
                <w:lang w:bidi="bg-BG"/>
              </w:rPr>
            </w:pPr>
            <w:r>
              <w:rPr>
                <w:rFonts w:eastAsia="Arial Unicode MS"/>
                <w:b/>
                <w:color w:val="000000"/>
                <w:lang w:bidi="bg-BG"/>
              </w:rPr>
              <w:t xml:space="preserve">Дейност 4: </w:t>
            </w:r>
            <w:r w:rsidRPr="00AF3370">
              <w:rPr>
                <w:rFonts w:eastAsia="Arial Unicode MS"/>
                <w:b/>
                <w:color w:val="000000"/>
                <w:lang w:bidi="bg-BG"/>
              </w:rPr>
              <w:t xml:space="preserve">Изготвяне на окончателен вариант на </w:t>
            </w:r>
            <w:r w:rsidRPr="00AF3370">
              <w:rPr>
                <w:b/>
                <w:bCs/>
                <w:color w:val="000000"/>
              </w:rPr>
              <w:t>Съвместна стратегия за подобряване на безопасността на навигацията в Долен Дунав</w:t>
            </w:r>
          </w:p>
          <w:p w:rsidR="00B87993" w:rsidRPr="00B86149" w:rsidRDefault="00B87993" w:rsidP="00FE0E62">
            <w:pPr>
              <w:ind w:left="360"/>
              <w:rPr>
                <w:bCs/>
                <w:color w:val="000000"/>
              </w:rPr>
            </w:pPr>
            <w:r>
              <w:rPr>
                <w:rFonts w:eastAsia="Arial Unicode MS"/>
                <w:color w:val="000000"/>
                <w:lang w:bidi="bg-BG"/>
              </w:rPr>
              <w:t xml:space="preserve">Въз основа на резултатите от предходните дейности Изпълнителя трябва да изготви </w:t>
            </w:r>
            <w:r w:rsidRPr="00AF3370">
              <w:rPr>
                <w:rFonts w:eastAsia="Arial Unicode MS"/>
                <w:color w:val="000000"/>
                <w:lang w:bidi="bg-BG"/>
              </w:rPr>
              <w:t xml:space="preserve">окончателен вариант на </w:t>
            </w:r>
            <w:r w:rsidRPr="00AF3370">
              <w:rPr>
                <w:bCs/>
                <w:color w:val="000000"/>
              </w:rPr>
              <w:t xml:space="preserve">Съвместна стратегия за подобряване на безопасността на навигацията в Долен </w:t>
            </w:r>
            <w:r w:rsidRPr="00B86149">
              <w:rPr>
                <w:bCs/>
                <w:color w:val="000000"/>
              </w:rPr>
              <w:t>Дунав в рамките на трансграничния регион Румъния-България</w:t>
            </w:r>
          </w:p>
          <w:p w:rsidR="00B87993" w:rsidRPr="00B86149" w:rsidRDefault="00B87993" w:rsidP="00FE0E62">
            <w:pPr>
              <w:rPr>
                <w:rFonts w:eastAsia="Arial Unicode MS"/>
                <w:i/>
                <w:color w:val="000000"/>
                <w:u w:val="single"/>
                <w:lang w:bidi="bg-BG"/>
              </w:rPr>
            </w:pPr>
          </w:p>
          <w:p w:rsidR="00B87993" w:rsidRPr="00B86149" w:rsidRDefault="00B87993" w:rsidP="00FE0E62">
            <w:pPr>
              <w:rPr>
                <w:rFonts w:eastAsia="Arial Unicode MS"/>
                <w:i/>
                <w:color w:val="000000"/>
                <w:u w:val="single"/>
                <w:lang w:bidi="bg-BG"/>
              </w:rPr>
            </w:pPr>
            <w:r w:rsidRPr="00B86149">
              <w:rPr>
                <w:rFonts w:eastAsia="Arial Unicode MS"/>
                <w:i/>
                <w:color w:val="000000"/>
                <w:u w:val="single"/>
                <w:lang w:bidi="bg-BG"/>
              </w:rPr>
              <w:t>Очакван резултат от Дейност 4:</w:t>
            </w:r>
          </w:p>
          <w:p w:rsidR="00B87993" w:rsidRPr="00B86149" w:rsidRDefault="00B87993" w:rsidP="00FE0E62">
            <w:pPr>
              <w:rPr>
                <w:bCs/>
                <w:color w:val="000000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 xml:space="preserve">Окончателен вариант на </w:t>
            </w:r>
            <w:r w:rsidRPr="00B86149">
              <w:rPr>
                <w:bCs/>
                <w:color w:val="000000"/>
              </w:rPr>
              <w:t>Съвместна стратегия за подобряване на безопасността на навигацията в Долен Дунав.</w:t>
            </w:r>
          </w:p>
          <w:p w:rsidR="00B87993" w:rsidRPr="00B86149" w:rsidRDefault="00B87993" w:rsidP="00FE0E62">
            <w:pPr>
              <w:rPr>
                <w:rFonts w:eastAsia="Arial Unicode MS"/>
                <w:color w:val="000000"/>
                <w:lang w:bidi="bg-BG"/>
              </w:rPr>
            </w:pPr>
          </w:p>
          <w:p w:rsidR="00B87993" w:rsidRPr="00AF3370" w:rsidRDefault="00B87993" w:rsidP="00FE0E62">
            <w:pPr>
              <w:rPr>
                <w:rFonts w:eastAsia="Arial Unicode MS"/>
                <w:color w:val="000000"/>
                <w:lang w:bidi="bg-BG"/>
              </w:rPr>
            </w:pPr>
            <w:r w:rsidRPr="00B86149">
              <w:rPr>
                <w:rFonts w:eastAsia="Arial Unicode MS"/>
                <w:color w:val="000000"/>
                <w:lang w:bidi="bg-BG"/>
              </w:rPr>
              <w:t xml:space="preserve">Резултатите от всяка една от посочените по-горе дейности се представя детайлно под формата на доклад и се предоставят  </w:t>
            </w:r>
            <w:bookmarkStart w:id="4" w:name="_GoBack"/>
            <w:bookmarkEnd w:id="4"/>
            <w:r w:rsidRPr="00B86149">
              <w:rPr>
                <w:rFonts w:eastAsia="Arial Unicode MS"/>
                <w:color w:val="000000"/>
                <w:lang w:bidi="bg-BG"/>
              </w:rPr>
              <w:t>на Възложителя в 2 екземпляра и на електронен носител в редактируем и нередактируем формат.</w:t>
            </w:r>
          </w:p>
        </w:tc>
      </w:tr>
    </w:tbl>
    <w:p w:rsidR="00AB5E3B" w:rsidRDefault="00AB5E3B" w:rsidP="00B87993"/>
    <w:sectPr w:rsidR="00AB5E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99" w:rsidRDefault="00E75599" w:rsidP="00685F2A">
      <w:r>
        <w:separator/>
      </w:r>
    </w:p>
  </w:endnote>
  <w:endnote w:type="continuationSeparator" w:id="0">
    <w:p w:rsidR="00E75599" w:rsidRDefault="00E75599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Unicode,Bold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sz w:val="6"/>
            </w:rPr>
          </w:pPr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</w:rPr>
          </w:pPr>
          <w:r w:rsidRPr="00685F2A">
            <w:rPr>
              <w:rFonts w:ascii="Trebuchet MS" w:hAnsi="Trebuchet MS"/>
              <w:b/>
            </w:rPr>
            <w:t>www.</w:t>
          </w:r>
          <w:r w:rsidRPr="00685F2A">
            <w:rPr>
              <w:rFonts w:ascii="Trebuchet MS" w:hAnsi="Trebuchet MS"/>
              <w:b/>
              <w:lang w:val="en-US"/>
            </w:rPr>
            <w:t>interregrobg</w:t>
          </w:r>
          <w:r w:rsidRPr="00685F2A">
            <w:rPr>
              <w:rFonts w:ascii="Trebuchet MS" w:hAnsi="Trebuchet MS"/>
              <w:b/>
            </w:rPr>
            <w:t>.eu</w:t>
          </w:r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  <w:sz w:val="6"/>
            </w:rPr>
          </w:pPr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B81E16" w:rsidRDefault="0078766B" w:rsidP="0078766B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color w:val="4D4D4D"/>
              <w:sz w:val="16"/>
            </w:rPr>
          </w:pPr>
          <w:r w:rsidRPr="00B81E16">
            <w:rPr>
              <w:rFonts w:ascii="Trebuchet MS" w:hAnsi="Trebuchet MS"/>
              <w:color w:val="4D4D4D"/>
              <w:sz w:val="16"/>
            </w:rPr>
            <w:t>Съдържанието на този материал не представлява непременно официалната позиция на Европейския Съюз.</w:t>
          </w:r>
        </w:p>
      </w:tc>
    </w:tr>
  </w:tbl>
  <w:p w:rsidR="0078766B" w:rsidRDefault="00787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99" w:rsidRDefault="00E75599" w:rsidP="00685F2A">
      <w:r>
        <w:separator/>
      </w:r>
    </w:p>
  </w:footnote>
  <w:footnote w:type="continuationSeparator" w:id="0">
    <w:p w:rsidR="00E75599" w:rsidRDefault="00E75599" w:rsidP="0068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6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434"/>
      <w:gridCol w:w="1095"/>
      <w:gridCol w:w="1446"/>
      <w:gridCol w:w="2097"/>
    </w:tblGrid>
    <w:tr w:rsidR="00AB5E3B" w:rsidRPr="003D352A" w:rsidTr="00EF4BE0">
      <w:trPr>
        <w:trHeight w:val="1135"/>
        <w:jc w:val="center"/>
      </w:trPr>
      <w:tc>
        <w:tcPr>
          <w:tcW w:w="1256" w:type="dxa"/>
          <w:shd w:val="clear" w:color="auto" w:fill="auto"/>
          <w:vAlign w:val="center"/>
        </w:tcPr>
        <w:p w:rsidR="00AB5E3B" w:rsidRPr="003D352A" w:rsidRDefault="00AB5E3B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74904EA7" wp14:editId="5F263FB9">
                <wp:extent cx="2734693" cy="548640"/>
                <wp:effectExtent l="0" t="0" r="8890" b="3810"/>
                <wp:docPr id="6" name="Picture 6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5" w:type="dxa"/>
          <w:shd w:val="clear" w:color="auto" w:fill="auto"/>
          <w:vAlign w:val="center"/>
        </w:tcPr>
        <w:p w:rsidR="00AB5E3B" w:rsidRPr="003D352A" w:rsidRDefault="004568A1" w:rsidP="00AB5E3B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  <w:r>
            <w:rPr>
              <w:noProof/>
              <w:lang w:val="bg-BG"/>
            </w:rPr>
            <w:drawing>
              <wp:inline distT="0" distB="0" distL="0" distR="0" wp14:anchorId="6F898165" wp14:editId="0935E6A6">
                <wp:extent cx="568386" cy="548640"/>
                <wp:effectExtent l="0" t="0" r="3175" b="3810"/>
                <wp:docPr id="3" name="Picture 3" descr="C:\Users\sven8\AppData\Local\Microsoft\Windows\INetCache\Content.Word\Logo-RO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ven8\AppData\Local\Microsoft\Windows\INetCache\Content.Word\Logo-RO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8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shd w:val="clear" w:color="auto" w:fill="auto"/>
          <w:vAlign w:val="center"/>
        </w:tcPr>
        <w:p w:rsidR="00AB5E3B" w:rsidRPr="003D352A" w:rsidRDefault="00CD0DEE" w:rsidP="00AB5E3B">
          <w:pPr>
            <w:tabs>
              <w:tab w:val="center" w:pos="4536"/>
              <w:tab w:val="left" w:pos="5322"/>
              <w:tab w:val="right" w:pos="9072"/>
            </w:tabs>
            <w:rPr>
              <w:sz w:val="2"/>
            </w:rPr>
          </w:pPr>
          <w:r>
            <w:rPr>
              <w:noProof/>
              <w:lang w:val="bg-BG"/>
            </w:rPr>
            <w:drawing>
              <wp:inline distT="0" distB="0" distL="0" distR="0" wp14:anchorId="034950E4" wp14:editId="2EB0F952">
                <wp:extent cx="793676" cy="548640"/>
                <wp:effectExtent l="0" t="0" r="6985" b="3810"/>
                <wp:docPr id="12" name="Picture 1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  <w:shd w:val="clear" w:color="auto" w:fill="auto"/>
          <w:vAlign w:val="center"/>
        </w:tcPr>
        <w:p w:rsidR="00AB5E3B" w:rsidRPr="003D352A" w:rsidRDefault="00CD0DEE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72BA941A" wp14:editId="7AD09DE1">
                <wp:extent cx="1223666" cy="548640"/>
                <wp:effectExtent l="0" t="0" r="0" b="3810"/>
                <wp:docPr id="15" name="Picture 15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F2A" w:rsidRDefault="00685F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ED9"/>
    <w:multiLevelType w:val="multilevel"/>
    <w:tmpl w:val="FAEE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76B4A"/>
    <w:multiLevelType w:val="hybridMultilevel"/>
    <w:tmpl w:val="499A1824"/>
    <w:lvl w:ilvl="0" w:tplc="D5D4A340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542B"/>
    <w:multiLevelType w:val="hybridMultilevel"/>
    <w:tmpl w:val="56CEA17E"/>
    <w:lvl w:ilvl="0" w:tplc="D5D4A340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E1925"/>
    <w:multiLevelType w:val="hybridMultilevel"/>
    <w:tmpl w:val="90DEFF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A5EC7"/>
    <w:multiLevelType w:val="hybridMultilevel"/>
    <w:tmpl w:val="C046B6C2"/>
    <w:lvl w:ilvl="0" w:tplc="DE5AD2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A"/>
    <w:rsid w:val="00016507"/>
    <w:rsid w:val="00111302"/>
    <w:rsid w:val="0016750C"/>
    <w:rsid w:val="00176784"/>
    <w:rsid w:val="0018453F"/>
    <w:rsid w:val="002559F0"/>
    <w:rsid w:val="00266C60"/>
    <w:rsid w:val="002C2F25"/>
    <w:rsid w:val="00317ABB"/>
    <w:rsid w:val="003457F7"/>
    <w:rsid w:val="00372C6B"/>
    <w:rsid w:val="00385942"/>
    <w:rsid w:val="00435B59"/>
    <w:rsid w:val="004568A1"/>
    <w:rsid w:val="0048524D"/>
    <w:rsid w:val="004E47BD"/>
    <w:rsid w:val="00535943"/>
    <w:rsid w:val="00583898"/>
    <w:rsid w:val="005D43ED"/>
    <w:rsid w:val="006673C4"/>
    <w:rsid w:val="006679F6"/>
    <w:rsid w:val="00675154"/>
    <w:rsid w:val="00685F2A"/>
    <w:rsid w:val="0073619E"/>
    <w:rsid w:val="0078766B"/>
    <w:rsid w:val="008860A6"/>
    <w:rsid w:val="0089631D"/>
    <w:rsid w:val="008C6648"/>
    <w:rsid w:val="00973E96"/>
    <w:rsid w:val="00995FEB"/>
    <w:rsid w:val="009C3B37"/>
    <w:rsid w:val="009D7548"/>
    <w:rsid w:val="00A063EF"/>
    <w:rsid w:val="00A636E9"/>
    <w:rsid w:val="00AB5E3B"/>
    <w:rsid w:val="00B87993"/>
    <w:rsid w:val="00C02E66"/>
    <w:rsid w:val="00C20DB2"/>
    <w:rsid w:val="00C85EBC"/>
    <w:rsid w:val="00CD0DEE"/>
    <w:rsid w:val="00D72A88"/>
    <w:rsid w:val="00D846B5"/>
    <w:rsid w:val="00DD2955"/>
    <w:rsid w:val="00DF51FC"/>
    <w:rsid w:val="00E75599"/>
    <w:rsid w:val="00E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3CD0D"/>
  <w15:chartTrackingRefBased/>
  <w15:docId w15:val="{B3F51E75-D57A-4CD1-9922-B4C30F61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3">
    <w:name w:val="List Table 6 Colorful Accent 3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">
    <w:name w:val="Plain Table 3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List Paragraph"/>
    <w:basedOn w:val="a"/>
    <w:uiPriority w:val="34"/>
    <w:qFormat/>
    <w:rsid w:val="00B8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E763-0B8E-49E7-8036-DAED0A6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MONIKA PETROVA</cp:lastModifiedBy>
  <cp:revision>36</cp:revision>
  <dcterms:created xsi:type="dcterms:W3CDTF">2016-02-10T17:32:00Z</dcterms:created>
  <dcterms:modified xsi:type="dcterms:W3CDTF">2018-03-02T09:25:00Z</dcterms:modified>
</cp:coreProperties>
</file>